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>1</w:t>
      </w:r>
    </w:p>
    <w:p>
      <w:pPr>
        <w:spacing w:line="480" w:lineRule="auto"/>
        <w:ind w:right="28"/>
        <w:jc w:val="both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both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东华大学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  <w:lang w:eastAsia="zh-CN"/>
        </w:rPr>
        <w:t>美育精品</w:t>
      </w: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（202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  <w:lang w:val="en-US" w:eastAsia="zh-CN"/>
        </w:rPr>
        <w:t>1</w:t>
      </w: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  <w:lang w:eastAsia="zh-CN"/>
        </w:rPr>
        <w:t>课程</w:t>
      </w:r>
      <w:r>
        <w:rPr>
          <w:rFonts w:hint="eastAsia" w:ascii="黑体" w:hAnsi="黑体" w:eastAsia="黑体" w:cs="Times New Roman"/>
          <w:sz w:val="32"/>
          <w:szCs w:val="36"/>
        </w:rPr>
        <w:t xml:space="preserve">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通识类课程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  <w:lang w:eastAsia="zh-CN"/>
        </w:rPr>
        <w:t>专业课程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</w:t>
      </w:r>
      <w:r>
        <w:rPr>
          <w:rFonts w:hint="eastAsia" w:ascii="黑体" w:hAnsi="黑体" w:eastAsia="黑体" w:cs="Times New Roman"/>
          <w:sz w:val="32"/>
          <w:szCs w:val="36"/>
          <w:lang w:eastAsia="zh-CN"/>
        </w:rPr>
        <w:t>单位</w:t>
      </w:r>
      <w:r>
        <w:rPr>
          <w:rFonts w:hint="eastAsia" w:ascii="黑体" w:hAnsi="黑体" w:eastAsia="黑体" w:cs="Times New Roman"/>
          <w:sz w:val="32"/>
          <w:szCs w:val="36"/>
        </w:rPr>
        <w:t>：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both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both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教务处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二○二</w:t>
      </w:r>
      <w:r>
        <w:rPr>
          <w:rFonts w:hint="eastAsia" w:ascii="黑体" w:hAnsi="黑体" w:eastAsia="黑体"/>
          <w:sz w:val="32"/>
          <w:szCs w:val="32"/>
          <w:lang w:eastAsia="zh-CN"/>
        </w:rPr>
        <w:t>一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五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both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jc w:val="center"/>
        <w:rPr>
          <w:rFonts w:hint="eastAsia" w:ascii="方正小标宋简体" w:eastAsia="方正小标宋简体"/>
          <w:sz w:val="32"/>
          <w:szCs w:val="32"/>
        </w:rPr>
      </w:pPr>
    </w:p>
    <w:p>
      <w:pPr>
        <w:widowControl/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eastAsia="zh-CN"/>
        </w:rPr>
        <w:t>美育精品课程申报可以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是拟开设的新课程，也可以是已有基础的课程。已有建设基础的申报课程需在原有基础上有一定创新性。拟新建课程需在2021-2022学年内开课。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  <w:lang w:eastAsia="zh-CN"/>
        </w:rPr>
        <w:t>已有基础的美育课程，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</w:t>
      </w:r>
      <w:r>
        <w:rPr>
          <w:rFonts w:hint="eastAsia" w:ascii="仿宋" w:hAnsi="仿宋" w:eastAsia="仿宋"/>
          <w:sz w:val="32"/>
          <w:szCs w:val="32"/>
          <w:lang w:eastAsia="zh-CN"/>
        </w:rPr>
        <w:t>已有记录</w:t>
      </w:r>
      <w:r>
        <w:rPr>
          <w:rFonts w:hint="eastAsia" w:ascii="仿宋" w:hAnsi="仿宋" w:eastAsia="仿宋"/>
          <w:sz w:val="32"/>
          <w:szCs w:val="32"/>
        </w:rPr>
        <w:t>一致。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  <w:szCs w:val="32"/>
        </w:rPr>
        <w:t>申报书按每门课程单独装订成册，一式两份。</w:t>
      </w:r>
    </w:p>
    <w:p>
      <w:pPr>
        <w:pStyle w:val="5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5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是否新建课程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拟新建课程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已有基础课程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代码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eastAsia="zh-CN"/>
              </w:rPr>
              <w:t>已有基础课程填写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拟开设学期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FF"/>
                <w:kern w:val="0"/>
                <w:sz w:val="24"/>
                <w:szCs w:val="24"/>
                <w:lang w:eastAsia="zh-CN"/>
              </w:rPr>
              <w:t>拟新建课程填写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类型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通识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    ○专业课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both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○必修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建设类型</w:t>
            </w:r>
          </w:p>
        </w:tc>
        <w:tc>
          <w:tcPr>
            <w:tcW w:w="5905" w:type="dxa"/>
          </w:tcPr>
          <w:p>
            <w:pPr>
              <w:spacing w:line="340" w:lineRule="exact"/>
              <w:jc w:val="both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线下课程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○线上线下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混合式课程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在线课程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课程曾获奖项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8522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以下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 专业课 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vAlign w:val="top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3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3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课程目标（5</w:t>
      </w:r>
      <w:r>
        <w:rPr>
          <w:rFonts w:ascii="Times New Roman" w:hAnsi="Times New Roman" w:eastAsia="黑体" w:cs="Times New Roman"/>
          <w:sz w:val="24"/>
          <w:szCs w:val="24"/>
        </w:rPr>
        <w:t>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办学特色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学生情况、美育教育教学改革等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课程建设及应用情况（2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要解决的重点问题，课程内容与资源建设及应用情况，课程教学内容及组织实施情况，课程成绩评定方式，课程评价及改革成效等情况。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已有基础课程可增加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建设发展历程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课程特色与创新（1</w:t>
      </w:r>
      <w:r>
        <w:rPr>
          <w:rFonts w:hint="eastAsia" w:ascii="Times New Roman" w:hAnsi="Times New Roman" w:eastAsia="黑体" w:cs="Times New Roman"/>
          <w:sz w:val="24"/>
          <w:szCs w:val="24"/>
        </w:rPr>
        <w:t>000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（概述本课程的特色及创新点。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已有基础课程需明确教学改革创新点。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课程建设计划（10</w:t>
      </w:r>
      <w:r>
        <w:rPr>
          <w:rFonts w:hint="eastAsia" w:ascii="Times New Roman" w:hAnsi="Times New Roman" w:eastAsia="黑体" w:cs="Times New Roman"/>
          <w:sz w:val="24"/>
          <w:szCs w:val="24"/>
        </w:rPr>
        <w:t>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一年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课程的持续建设计划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和建设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措施等。）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验收指标（500字以内）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67" w:hRule="atLeast"/>
        </w:trPr>
        <w:tc>
          <w:tcPr>
            <w:tcW w:w="8522" w:type="dxa"/>
          </w:tcPr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ind w:firstLine="458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教学单位</w:t>
      </w:r>
      <w:r>
        <w:rPr>
          <w:rFonts w:hint="eastAsia" w:ascii="黑体" w:hAnsi="黑体" w:eastAsia="黑体" w:cs="黑体"/>
          <w:sz w:val="24"/>
          <w:szCs w:val="24"/>
        </w:rPr>
        <w:t>政治审查意见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该课程内容申报材料无危害国家安全、涉密及其他不适宜公开传播的内容，思想导向正确，不存在思想性问题。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5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党委（盖章）</w:t>
            </w:r>
          </w:p>
          <w:p>
            <w:pPr>
              <w:pStyle w:val="5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教学单位</w:t>
      </w:r>
      <w:r>
        <w:rPr>
          <w:rFonts w:hint="eastAsia" w:ascii="黑体" w:hAnsi="黑体" w:eastAsia="黑体"/>
          <w:sz w:val="24"/>
          <w:szCs w:val="24"/>
        </w:rPr>
        <w:t>承诺意见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0" w:hRule="atLeast"/>
        </w:trPr>
        <w:tc>
          <w:tcPr>
            <w:tcW w:w="8522" w:type="dxa"/>
          </w:tcPr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该课程如果被认定为东华大学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美育精品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课程，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承诺为课程团队提供政策、经费等方面的支持，确保该课程持续建设。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同意课程建设和改革成果在指定的网站上公开展示和分享。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  <w:lang w:eastAsia="zh-CN"/>
              </w:rPr>
              <w:t>教学单位</w:t>
            </w: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5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5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5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5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121B8"/>
    <w:rsid w:val="05D83DF7"/>
    <w:rsid w:val="05F77B22"/>
    <w:rsid w:val="06551748"/>
    <w:rsid w:val="09C121B8"/>
    <w:rsid w:val="0CF757F0"/>
    <w:rsid w:val="11FF2C7A"/>
    <w:rsid w:val="15601B63"/>
    <w:rsid w:val="1A5F613A"/>
    <w:rsid w:val="22F41BC0"/>
    <w:rsid w:val="235E5DF5"/>
    <w:rsid w:val="2A240823"/>
    <w:rsid w:val="2C3E227F"/>
    <w:rsid w:val="3B9A5338"/>
    <w:rsid w:val="3D5915C1"/>
    <w:rsid w:val="3DD11C8F"/>
    <w:rsid w:val="44EC4B24"/>
    <w:rsid w:val="46BA4024"/>
    <w:rsid w:val="48056A25"/>
    <w:rsid w:val="48737A78"/>
    <w:rsid w:val="48FD3728"/>
    <w:rsid w:val="497312F4"/>
    <w:rsid w:val="4A5D62D0"/>
    <w:rsid w:val="510D3D9C"/>
    <w:rsid w:val="54DC3168"/>
    <w:rsid w:val="657B57FA"/>
    <w:rsid w:val="675C5C86"/>
    <w:rsid w:val="767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2021-04-29T06:39:00Z</dcterms:created>
  <dc:creator>zhuyimeng</dc:creator>
  <cp:lastModifiedBy>zhuyimeng</cp:lastModifiedBy>
  <dcterms:modified xsi:type="dcterms:W3CDTF">2021-05-07T02:08:54Z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9F9890F44EF8418A8F0E9EEDC58A5D94</vt:lpwstr>
  </property>
</Properties>
</file>